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38"/>
        <w:gridCol w:w="793"/>
        <w:gridCol w:w="5246"/>
        <w:gridCol w:w="2126"/>
      </w:tblGrid>
      <w:tr w:rsidR="00E42984" w:rsidTr="00E42984">
        <w:trPr>
          <w:trHeight w:val="274"/>
        </w:trPr>
        <w:tc>
          <w:tcPr>
            <w:tcW w:w="7371" w:type="dxa"/>
            <w:gridSpan w:val="3"/>
          </w:tcPr>
          <w:p w:rsidR="00E42984" w:rsidRPr="00E42984" w:rsidRDefault="00E42984" w:rsidP="00E42984">
            <w:pPr>
              <w:ind w:left="720" w:hanging="72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TERM:</w:t>
            </w:r>
            <w:r w:rsidR="00B46BF6">
              <w:rPr>
                <w:rFonts w:ascii="Trebuchet MS" w:hAnsi="Trebuchet MS"/>
                <w:b/>
                <w:sz w:val="24"/>
              </w:rPr>
              <w:t xml:space="preserve"> SPRING 2</w:t>
            </w:r>
          </w:p>
        </w:tc>
        <w:tc>
          <w:tcPr>
            <w:tcW w:w="7372" w:type="dxa"/>
            <w:gridSpan w:val="2"/>
          </w:tcPr>
          <w:p w:rsidR="00E42984" w:rsidRPr="00E42984" w:rsidRDefault="00E42984" w:rsidP="00E42984">
            <w:pPr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TOPIC:</w:t>
            </w:r>
            <w:r w:rsidR="00B46BF6">
              <w:rPr>
                <w:rFonts w:ascii="Trebuchet MS" w:hAnsi="Trebuchet MS"/>
                <w:b/>
                <w:sz w:val="24"/>
              </w:rPr>
              <w:t xml:space="preserve"> GROWING &amp; LIFECYCLES</w:t>
            </w:r>
          </w:p>
        </w:tc>
      </w:tr>
      <w:tr w:rsidR="00E42984" w:rsidTr="003C40FF">
        <w:trPr>
          <w:trHeight w:val="630"/>
        </w:trPr>
        <w:tc>
          <w:tcPr>
            <w:tcW w:w="6578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What are the children learning to do?</w:t>
            </w:r>
          </w:p>
        </w:tc>
        <w:tc>
          <w:tcPr>
            <w:tcW w:w="6039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Activities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Books</w:t>
            </w:r>
          </w:p>
        </w:tc>
      </w:tr>
      <w:tr w:rsidR="00E42984" w:rsidTr="003C40FF">
        <w:trPr>
          <w:trHeight w:val="1410"/>
        </w:trPr>
        <w:tc>
          <w:tcPr>
            <w:tcW w:w="540" w:type="dxa"/>
            <w:shd w:val="clear" w:color="auto" w:fill="F7CAAC" w:themeFill="accent2" w:themeFillTint="66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S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Collective Worship</w:t>
            </w:r>
          </w:p>
          <w:p w:rsid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</w:t>
            </w:r>
          </w:p>
          <w:p w:rsid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Mindfulness</w:t>
            </w:r>
          </w:p>
          <w:p w:rsidR="00B46BF6" w:rsidRPr="00B46BF6" w:rsidRDefault="00B46BF6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E42984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Phonics ORT Books.</w:t>
            </w:r>
          </w:p>
          <w:p w:rsidR="00B46BF6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Non-fiction, animals and plants.</w:t>
            </w:r>
          </w:p>
          <w:p w:rsidR="00B46BF6" w:rsidRPr="006715B1" w:rsidRDefault="00B46BF6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Jasper’s Beanstalk.</w:t>
            </w:r>
          </w:p>
        </w:tc>
      </w:tr>
      <w:tr w:rsidR="00E42984" w:rsidTr="003C40FF">
        <w:trPr>
          <w:trHeight w:val="742"/>
        </w:trPr>
        <w:tc>
          <w:tcPr>
            <w:tcW w:w="540" w:type="dxa"/>
            <w:vMerge w:val="restart"/>
            <w:shd w:val="clear" w:color="auto" w:fill="FFFF00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C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&amp;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L</w:t>
            </w:r>
          </w:p>
        </w:tc>
        <w:tc>
          <w:tcPr>
            <w:tcW w:w="6038" w:type="dxa"/>
            <w:vMerge w:val="restart"/>
          </w:tcPr>
          <w:p w:rsidR="00E42984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  <w:vMerge w:val="restart"/>
          </w:tcPr>
          <w:p w:rsidR="00E42984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Stories sharing key vocabulary.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10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6715B1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People Who Help Us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E42984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Vets.</w:t>
            </w:r>
          </w:p>
          <w:p w:rsidR="00B46BF6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Gardeners.</w:t>
            </w:r>
          </w:p>
          <w:p w:rsidR="00B46BF6" w:rsidRPr="006715B1" w:rsidRDefault="00B46BF6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Horticulturists.</w:t>
            </w:r>
          </w:p>
        </w:tc>
      </w:tr>
      <w:tr w:rsidR="00E42984" w:rsidTr="003C40FF">
        <w:trPr>
          <w:trHeight w:val="690"/>
        </w:trPr>
        <w:tc>
          <w:tcPr>
            <w:tcW w:w="540" w:type="dxa"/>
            <w:shd w:val="clear" w:color="auto" w:fill="CC66FF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Active Start P.E. sessions.</w:t>
            </w:r>
          </w:p>
          <w:p w:rsidR="00B46BF6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Packs to go home over the Easter hols.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1297"/>
        </w:trPr>
        <w:tc>
          <w:tcPr>
            <w:tcW w:w="540" w:type="dxa"/>
            <w:shd w:val="clear" w:color="auto" w:fill="A8D08D" w:themeFill="accent6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L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</w:tc>
        <w:tc>
          <w:tcPr>
            <w:tcW w:w="6038" w:type="dxa"/>
          </w:tcPr>
          <w:p w:rsidR="00E42984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E41E72" w:rsidRPr="00B46BF6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Write some or all of their name.</w:t>
            </w:r>
          </w:p>
        </w:tc>
        <w:tc>
          <w:tcPr>
            <w:tcW w:w="6039" w:type="dxa"/>
            <w:gridSpan w:val="2"/>
          </w:tcPr>
          <w:p w:rsidR="00E42984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Weekly practice of names.</w:t>
            </w:r>
          </w:p>
          <w:p w:rsidR="00E41E72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Phonics daily.</w:t>
            </w:r>
          </w:p>
          <w:p w:rsidR="00E41E72" w:rsidRPr="00B46BF6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Begin to look at the 5 key concepts about print.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70"/>
        </w:trPr>
        <w:tc>
          <w:tcPr>
            <w:tcW w:w="540" w:type="dxa"/>
            <w:vMerge w:val="restart"/>
            <w:shd w:val="clear" w:color="auto" w:fill="9CC2E5" w:themeFill="accent1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H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 w:val="restart"/>
          </w:tcPr>
          <w:p w:rsidR="000F549D" w:rsidRPr="000F549D" w:rsidRDefault="000F549D" w:rsidP="000F549D">
            <w:pPr>
              <w:rPr>
                <w:rStyle w:val="fontstyle01"/>
                <w:rFonts w:ascii="Trebuchet MS" w:hAnsi="Trebuchet MS"/>
              </w:rPr>
            </w:pPr>
            <w:r w:rsidRPr="000F549D">
              <w:rPr>
                <w:rStyle w:val="fontstyle01"/>
                <w:rFonts w:ascii="Trebuchet MS" w:hAnsi="Trebuchet MS"/>
              </w:rPr>
              <w:t>Talk about and explore 2D and 3D shapes (for example, circles, rectangles, triangles and cuboids) using informal</w:t>
            </w:r>
            <w:r w:rsidRPr="000F549D">
              <w:rPr>
                <w:rFonts w:ascii="Trebuchet MS" w:hAnsi="Trebuchet MS"/>
                <w:color w:val="000000"/>
              </w:rPr>
              <w:br/>
            </w:r>
            <w:r w:rsidRPr="000F549D">
              <w:rPr>
                <w:rStyle w:val="fontstyle01"/>
                <w:rFonts w:ascii="Trebuchet MS" w:hAnsi="Trebuchet MS"/>
              </w:rPr>
              <w:t>and mathematical language: ‘sides’, ‘corners’; ‘straight’,</w:t>
            </w:r>
            <w:r w:rsidRPr="000F549D">
              <w:rPr>
                <w:rFonts w:ascii="Trebuchet MS" w:hAnsi="Trebuchet MS"/>
                <w:color w:val="000000"/>
              </w:rPr>
              <w:br/>
            </w:r>
            <w:r w:rsidRPr="000F549D">
              <w:rPr>
                <w:rStyle w:val="fontstyle01"/>
                <w:rFonts w:ascii="Trebuchet MS" w:hAnsi="Trebuchet MS"/>
              </w:rPr>
              <w:t>‘flat’, ‘round’.</w:t>
            </w:r>
          </w:p>
          <w:p w:rsidR="000F549D" w:rsidRPr="000F549D" w:rsidRDefault="000F549D" w:rsidP="000F549D">
            <w:pPr>
              <w:rPr>
                <w:rStyle w:val="fontstyle01"/>
                <w:rFonts w:ascii="Trebuchet MS" w:hAnsi="Trebuchet MS"/>
              </w:rPr>
            </w:pPr>
          </w:p>
          <w:p w:rsidR="000F549D" w:rsidRPr="000F549D" w:rsidRDefault="000F549D" w:rsidP="000F549D">
            <w:pPr>
              <w:rPr>
                <w:rStyle w:val="fontstyle01"/>
                <w:rFonts w:ascii="Trebuchet MS" w:hAnsi="Trebuchet MS"/>
              </w:rPr>
            </w:pPr>
          </w:p>
          <w:p w:rsidR="000F549D" w:rsidRPr="000F549D" w:rsidRDefault="000F549D" w:rsidP="000F549D">
            <w:pPr>
              <w:rPr>
                <w:rStyle w:val="fontstyle01"/>
                <w:rFonts w:ascii="Trebuchet MS" w:hAnsi="Trebuchet MS"/>
              </w:rPr>
            </w:pPr>
          </w:p>
          <w:p w:rsidR="00911B53" w:rsidRDefault="00911B53" w:rsidP="000F549D">
            <w:pPr>
              <w:rPr>
                <w:rStyle w:val="fontstyle01"/>
                <w:rFonts w:ascii="Trebuchet MS" w:hAnsi="Trebuchet MS"/>
              </w:rPr>
            </w:pPr>
          </w:p>
          <w:p w:rsidR="00E42984" w:rsidRPr="000F549D" w:rsidRDefault="000F549D" w:rsidP="000F549D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F549D">
              <w:rPr>
                <w:rStyle w:val="fontstyle01"/>
                <w:rFonts w:ascii="Trebuchet MS" w:hAnsi="Trebuchet MS"/>
              </w:rPr>
              <w:t>Recap prior learning and skills.</w:t>
            </w:r>
          </w:p>
        </w:tc>
        <w:tc>
          <w:tcPr>
            <w:tcW w:w="6039" w:type="dxa"/>
            <w:gridSpan w:val="2"/>
            <w:vMerge w:val="restart"/>
          </w:tcPr>
          <w:p w:rsidR="000F549D" w:rsidRPr="000F549D" w:rsidRDefault="000F549D" w:rsidP="000F549D">
            <w:pPr>
              <w:rPr>
                <w:rStyle w:val="fontstyle01"/>
                <w:rFonts w:ascii="Trebuchet MS" w:hAnsi="Trebuchet MS"/>
              </w:rPr>
            </w:pPr>
            <w:r w:rsidRPr="000F549D">
              <w:rPr>
                <w:rStyle w:val="fontstyle01"/>
                <w:rFonts w:ascii="Trebuchet MS" w:hAnsi="Trebuchet MS"/>
              </w:rPr>
              <w:lastRenderedPageBreak/>
              <w:t>Encourage children to play freely with blocks, shapes, shape puzzles and shape-sorters.</w:t>
            </w:r>
            <w:r w:rsidRPr="000F549D">
              <w:rPr>
                <w:rFonts w:ascii="Trebuchet MS" w:hAnsi="Trebuchet MS"/>
                <w:color w:val="000000"/>
              </w:rPr>
              <w:br/>
            </w:r>
            <w:r w:rsidRPr="000F549D">
              <w:rPr>
                <w:rStyle w:val="fontstyle01"/>
                <w:rFonts w:ascii="Trebuchet MS" w:hAnsi="Trebuchet MS"/>
              </w:rPr>
              <w:t>Sensitively support and discuss questions like: “What is the same and what is different?”</w:t>
            </w:r>
            <w:r w:rsidRPr="000F549D">
              <w:rPr>
                <w:rFonts w:ascii="Trebuchet MS" w:hAnsi="Trebuchet MS"/>
                <w:color w:val="000000"/>
              </w:rPr>
              <w:br/>
            </w:r>
            <w:r w:rsidRPr="000F549D">
              <w:rPr>
                <w:rStyle w:val="fontstyle01"/>
                <w:rFonts w:ascii="Trebuchet MS" w:hAnsi="Trebuchet MS"/>
              </w:rPr>
              <w:t xml:space="preserve">Encourage children to talk informally about shape properties using words like ‘sharp corner’, ‘pointy’ or </w:t>
            </w:r>
            <w:r w:rsidRPr="000F549D">
              <w:rPr>
                <w:rStyle w:val="fontstyle01"/>
                <w:rFonts w:ascii="Trebuchet MS" w:hAnsi="Trebuchet MS"/>
              </w:rPr>
              <w:lastRenderedPageBreak/>
              <w:t>‘curvy’. Talk about shapes as you play with them: “We need a piece with a straight edge.”</w:t>
            </w:r>
          </w:p>
          <w:p w:rsidR="000F549D" w:rsidRPr="000F549D" w:rsidRDefault="000F549D" w:rsidP="000F549D">
            <w:pPr>
              <w:rPr>
                <w:rFonts w:ascii="Trebuchet MS" w:hAnsi="Trebuchet MS"/>
              </w:rPr>
            </w:pPr>
            <w:r w:rsidRPr="000F549D">
              <w:rPr>
                <w:rStyle w:val="fontstyle01"/>
                <w:rFonts w:ascii="Trebuchet MS" w:hAnsi="Trebuchet MS"/>
              </w:rPr>
              <w:t>Shape hunt.</w:t>
            </w:r>
          </w:p>
          <w:p w:rsidR="00E42984" w:rsidRPr="000F549D" w:rsidRDefault="00E42984" w:rsidP="000F549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lastRenderedPageBreak/>
              <w:t>Visits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9CC2E5" w:themeFill="accent1" w:themeFillTint="99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E42984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Garden Centre.</w:t>
            </w:r>
          </w:p>
          <w:p w:rsidR="00B46BF6" w:rsidRPr="006715B1" w:rsidRDefault="00B46BF6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Vets.</w:t>
            </w:r>
          </w:p>
        </w:tc>
      </w:tr>
      <w:tr w:rsidR="00E42984" w:rsidTr="003C40FF">
        <w:trPr>
          <w:trHeight w:val="930"/>
        </w:trPr>
        <w:tc>
          <w:tcPr>
            <w:tcW w:w="540" w:type="dxa"/>
            <w:shd w:val="clear" w:color="auto" w:fill="CCCC00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U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W</w:t>
            </w:r>
          </w:p>
        </w:tc>
        <w:tc>
          <w:tcPr>
            <w:tcW w:w="6038" w:type="dxa"/>
          </w:tcPr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t>Plant seeds and care for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growing plants.</w:t>
            </w:r>
          </w:p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Understand the key features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of the life cycle of a plant and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an animal.</w:t>
            </w:r>
          </w:p>
          <w:p w:rsidR="00246257" w:rsidRPr="00246257" w:rsidRDefault="00246257" w:rsidP="00246257">
            <w:pPr>
              <w:rPr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Begin to understand the need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to respect and care for the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natural environment and all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living things.</w:t>
            </w:r>
          </w:p>
          <w:p w:rsidR="00E42984" w:rsidRPr="00246257" w:rsidRDefault="00E42984" w:rsidP="00246257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</w:tcPr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t>Show and explain the concepts of growth, change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and decay with natural materials.</w:t>
            </w:r>
          </w:p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Suggestions</w:t>
            </w:r>
            <w:proofErr w:type="gramStart"/>
            <w:r w:rsidRPr="00246257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21"/>
                <w:rFonts w:ascii="Trebuchet MS" w:hAnsi="Trebuchet MS"/>
              </w:rPr>
              <w:t xml:space="preserve">- </w:t>
            </w:r>
            <w:r w:rsidRPr="00246257">
              <w:rPr>
                <w:rStyle w:val="fontstyle01"/>
                <w:rFonts w:ascii="Trebuchet MS" w:hAnsi="Trebuchet MS"/>
              </w:rPr>
              <w:t>plant seeds and bulbs so children observe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growth and decay over time</w:t>
            </w: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21"/>
                <w:rFonts w:ascii="Trebuchet MS" w:hAnsi="Trebuchet MS"/>
              </w:rPr>
              <w:t xml:space="preserve">- </w:t>
            </w:r>
            <w:r w:rsidRPr="00246257">
              <w:rPr>
                <w:rStyle w:val="fontstyle01"/>
                <w:rFonts w:ascii="Trebuchet MS" w:hAnsi="Trebuchet MS"/>
              </w:rPr>
              <w:t>observe an apple core going brown and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mouldy over time</w:t>
            </w: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21"/>
                <w:rFonts w:ascii="Trebuchet MS" w:hAnsi="Trebuchet MS"/>
              </w:rPr>
              <w:t xml:space="preserve">- </w:t>
            </w:r>
            <w:r w:rsidRPr="00246257">
              <w:rPr>
                <w:rStyle w:val="fontstyle01"/>
                <w:rFonts w:ascii="Trebuchet MS" w:hAnsi="Trebuchet MS"/>
              </w:rPr>
              <w:t>help children to care for animals and take part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in first-hand scientific explorations of animal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life</w:t>
            </w:r>
            <w:r>
              <w:rPr>
                <w:rStyle w:val="fontstyle01"/>
                <w:rFonts w:ascii="Trebuchet MS" w:hAnsi="Trebuchet MS"/>
              </w:rPr>
              <w:t xml:space="preserve"> c</w:t>
            </w:r>
            <w:r w:rsidRPr="00246257">
              <w:rPr>
                <w:rStyle w:val="fontstyle01"/>
                <w:rFonts w:ascii="Trebuchet MS" w:hAnsi="Trebuchet MS"/>
              </w:rPr>
              <w:t>ycles, such as caterpillars or chick eggs.</w:t>
            </w:r>
          </w:p>
          <w:p w:rsidR="00246257" w:rsidRP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Plan and introduce new vocabulary related to the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exploration. Encourage children to use it in their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discussions, as they care for living things.</w:t>
            </w:r>
          </w:p>
          <w:p w:rsidR="00E42984" w:rsidRPr="00246257" w:rsidRDefault="00246257" w:rsidP="00246257">
            <w:pPr>
              <w:rPr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t>Encourage children to refer to books, wall displays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and online resources. This will support their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investigations and extend their knowledge and ways</w:t>
            </w: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of thinking.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  <w:tr w:rsidR="00E42984" w:rsidTr="003C40FF">
        <w:trPr>
          <w:trHeight w:val="840"/>
        </w:trPr>
        <w:tc>
          <w:tcPr>
            <w:tcW w:w="540" w:type="dxa"/>
            <w:shd w:val="clear" w:color="auto" w:fill="FFC000" w:themeFill="accent4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246257" w:rsidRPr="00246257" w:rsidRDefault="00246257" w:rsidP="00246257">
            <w:pPr>
              <w:rPr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t>Create closed shapes with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continuous lines, and begin to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use these shapes to represent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objects.</w:t>
            </w:r>
          </w:p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lastRenderedPageBreak/>
              <w:t>Draw with increasing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complexity and detail, such as</w:t>
            </w: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representing a face with a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circle and including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details.</w:t>
            </w:r>
          </w:p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Use drawing to represent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ideas like movement or loud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noises.</w:t>
            </w:r>
          </w:p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Show different emotions in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their drawings and paintings,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like happiness, sadness, fear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etc.</w:t>
            </w:r>
          </w:p>
          <w:p w:rsidR="00246257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Explore colour and colour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mixing.</w:t>
            </w:r>
          </w:p>
          <w:p w:rsidR="00E42984" w:rsidRPr="00246257" w:rsidRDefault="00246257" w:rsidP="00C75BF4">
            <w:pPr>
              <w:rPr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</w:p>
        </w:tc>
        <w:tc>
          <w:tcPr>
            <w:tcW w:w="6039" w:type="dxa"/>
            <w:gridSpan w:val="2"/>
          </w:tcPr>
          <w:p w:rsidR="00CA3D44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lastRenderedPageBreak/>
              <w:t>Help children to develop their drawing and model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 xml:space="preserve">making. </w:t>
            </w:r>
          </w:p>
          <w:p w:rsidR="00CA3D44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t>Encourage them to develop their own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creative ideas. Spend sustained time alongside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 xml:space="preserve">them. </w:t>
            </w:r>
          </w:p>
          <w:p w:rsidR="00CA3D44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lastRenderedPageBreak/>
              <w:t>Show interest in the meanings children give to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their drawings and models. Talk together about these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meanings.</w:t>
            </w:r>
          </w:p>
          <w:p w:rsidR="00CA3D44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Encourage children to draw from their imagination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and observation.</w:t>
            </w:r>
          </w:p>
          <w:p w:rsidR="00CA3D44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Help children to add details to their drawings by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selecting interesting objects to draw, and by pointing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out key features to children and discussing them.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</w:p>
          <w:p w:rsidR="00CA3D44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246257">
              <w:rPr>
                <w:rStyle w:val="fontstyle01"/>
                <w:rFonts w:ascii="Trebuchet MS" w:hAnsi="Trebuchet MS"/>
              </w:rPr>
              <w:t>Talk to children about the differences between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colours. Help them to explore and refine their colour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mixing - for example: “How does blue become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green?”</w:t>
            </w:r>
          </w:p>
          <w:p w:rsidR="00E42984" w:rsidRDefault="00246257" w:rsidP="00246257">
            <w:pPr>
              <w:rPr>
                <w:rFonts w:ascii="Trebuchet MS" w:hAnsi="Trebuchet MS"/>
              </w:rPr>
            </w:pPr>
            <w:r w:rsidRPr="00246257">
              <w:rPr>
                <w:rFonts w:ascii="Trebuchet MS" w:hAnsi="Trebuchet MS"/>
                <w:color w:val="000000"/>
              </w:rPr>
              <w:br/>
            </w:r>
            <w:r w:rsidRPr="00246257">
              <w:rPr>
                <w:rStyle w:val="fontstyle01"/>
                <w:rFonts w:ascii="Trebuchet MS" w:hAnsi="Trebuchet MS"/>
              </w:rPr>
              <w:t>Introduce children to the work of artists from across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times and cultures. Help them to notice where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features of artists’ work overlap with the children’s,</w:t>
            </w:r>
            <w:r w:rsidR="00CA3D44">
              <w:rPr>
                <w:rStyle w:val="fontstyle01"/>
                <w:rFonts w:ascii="Trebuchet MS" w:hAnsi="Trebuchet MS"/>
              </w:rPr>
              <w:t xml:space="preserve"> </w:t>
            </w:r>
            <w:r w:rsidRPr="00246257">
              <w:rPr>
                <w:rStyle w:val="fontstyle01"/>
                <w:rFonts w:ascii="Trebuchet MS" w:hAnsi="Trebuchet MS"/>
              </w:rPr>
              <w:t>for example in details, colour, movement or line.</w:t>
            </w:r>
          </w:p>
          <w:p w:rsidR="00CA3D44" w:rsidRDefault="00CA3D44" w:rsidP="002462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Children to contribute to class display work. </w:t>
            </w:r>
          </w:p>
          <w:p w:rsidR="00B2698C" w:rsidRPr="00CA3D44" w:rsidRDefault="00B2698C" w:rsidP="00B2698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 xml:space="preserve">Sing Up Unit – </w:t>
            </w:r>
            <w:r>
              <w:rPr>
                <w:rFonts w:ascii="Trebuchet MS" w:hAnsi="Trebuchet MS"/>
                <w:sz w:val="24"/>
              </w:rPr>
              <w:t>Animal tea party</w:t>
            </w:r>
            <w:bookmarkStart w:id="0" w:name="_GoBack"/>
            <w:bookmarkEnd w:id="0"/>
            <w:r>
              <w:rPr>
                <w:rFonts w:ascii="Trebuchet MS" w:hAnsi="Trebuchet MS"/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</w:tbl>
    <w:p w:rsidR="003D0D3E" w:rsidRPr="00E42984" w:rsidRDefault="003D0D3E" w:rsidP="00E42984">
      <w:pPr>
        <w:jc w:val="center"/>
        <w:rPr>
          <w:rFonts w:ascii="Trebuchet MS" w:hAnsi="Trebuchet MS"/>
          <w:b/>
          <w:sz w:val="24"/>
          <w:u w:val="single"/>
        </w:rPr>
      </w:pPr>
    </w:p>
    <w:sectPr w:rsidR="003D0D3E" w:rsidRPr="00E42984" w:rsidSect="00E42984">
      <w:headerReference w:type="default" r:id="rId6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59" w:rsidRDefault="009F0259" w:rsidP="00E42984">
      <w:pPr>
        <w:spacing w:after="0" w:line="240" w:lineRule="auto"/>
      </w:pPr>
      <w:r>
        <w:separator/>
      </w:r>
    </w:p>
  </w:endnote>
  <w:endnote w:type="continuationSeparator" w:id="0">
    <w:p w:rsidR="009F0259" w:rsidRDefault="009F0259" w:rsidP="00E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59" w:rsidRDefault="009F0259" w:rsidP="00E42984">
      <w:pPr>
        <w:spacing w:after="0" w:line="240" w:lineRule="auto"/>
      </w:pPr>
      <w:r>
        <w:separator/>
      </w:r>
    </w:p>
  </w:footnote>
  <w:footnote w:type="continuationSeparator" w:id="0">
    <w:p w:rsidR="009F0259" w:rsidRDefault="009F0259" w:rsidP="00E4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84" w:rsidRPr="00E42984" w:rsidRDefault="00E42984" w:rsidP="00E42984">
    <w:pPr>
      <w:pStyle w:val="Header"/>
      <w:jc w:val="center"/>
      <w:rPr>
        <w:rFonts w:ascii="Trebuchet MS" w:hAnsi="Trebuchet MS"/>
        <w:b/>
        <w:sz w:val="24"/>
        <w:u w:val="single"/>
        <w:lang w:val="en-US"/>
      </w:rPr>
    </w:pPr>
    <w:r>
      <w:rPr>
        <w:rFonts w:ascii="Trebuchet MS" w:hAnsi="Trebuchet MS"/>
        <w:b/>
        <w:sz w:val="24"/>
        <w:u w:val="single"/>
        <w:lang w:val="en-US"/>
      </w:rPr>
      <w:t>All Saints’ CE Nursery Medium Term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4"/>
    <w:rsid w:val="000F549D"/>
    <w:rsid w:val="00106BDD"/>
    <w:rsid w:val="00246257"/>
    <w:rsid w:val="002D3B63"/>
    <w:rsid w:val="003C40FF"/>
    <w:rsid w:val="003D0D3E"/>
    <w:rsid w:val="006715B1"/>
    <w:rsid w:val="0075423A"/>
    <w:rsid w:val="008A768F"/>
    <w:rsid w:val="00911B53"/>
    <w:rsid w:val="009F0259"/>
    <w:rsid w:val="00A05EE6"/>
    <w:rsid w:val="00B2698C"/>
    <w:rsid w:val="00B46BF6"/>
    <w:rsid w:val="00C75BF4"/>
    <w:rsid w:val="00CA3D44"/>
    <w:rsid w:val="00E41E72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22F2-2DFD-4E94-99DF-49520C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4"/>
  </w:style>
  <w:style w:type="paragraph" w:styleId="Footer">
    <w:name w:val="footer"/>
    <w:basedOn w:val="Normal"/>
    <w:link w:val="Foot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4"/>
  </w:style>
  <w:style w:type="character" w:customStyle="1" w:styleId="fontstyle01">
    <w:name w:val="fontstyle01"/>
    <w:basedOn w:val="DefaultParagraphFont"/>
    <w:rsid w:val="000F549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4625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Sarah Ingledew</cp:lastModifiedBy>
  <cp:revision>8</cp:revision>
  <dcterms:created xsi:type="dcterms:W3CDTF">2021-05-12T18:06:00Z</dcterms:created>
  <dcterms:modified xsi:type="dcterms:W3CDTF">2023-04-17T20:47:00Z</dcterms:modified>
</cp:coreProperties>
</file>